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703B74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</w:rPr>
      </w:pP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540"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«Дүниежүзі  тарихы» пәнінен жиы</w:t>
      </w:r>
      <w:r>
        <w:rPr>
          <w:rFonts w:ascii="Times New Roman" w:hAnsi="Times New Roman"/>
          <w:b w:val="1"/>
          <w:sz w:val="36"/>
        </w:rPr>
        <w:t xml:space="preserve">нтық </w:t>
      </w:r>
      <w:r>
        <w:rPr>
          <w:rFonts w:ascii="Times New Roman" w:hAnsi="Times New Roman"/>
          <w:b w:val="1"/>
          <w:sz w:val="36"/>
        </w:rPr>
        <w:t>б</w:t>
      </w:r>
      <w:r>
        <w:rPr>
          <w:rFonts w:ascii="Times New Roman" w:hAnsi="Times New Roman"/>
          <w:b w:val="1"/>
          <w:sz w:val="36"/>
        </w:rPr>
        <w:t>ағала</w:t>
      </w:r>
      <w:r>
        <w:rPr>
          <w:rFonts w:ascii="Times New Roman" w:hAnsi="Times New Roman"/>
          <w:b w:val="1"/>
          <w:sz w:val="36"/>
        </w:rPr>
        <w:t>у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540"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7,8 - сынып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5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540"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4 тоқсан</w:t>
      </w: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5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540"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Қашықтықтан  оқыту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IV тоқсанға арналған жиынтық бағалау тапсырмалары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«Америка Құрама Штаттарының күшеюі, Суретшілер мен жазушылардың көзқарасымен XІX ғасырдағы өзгерістерге шолу» </w:t>
      </w:r>
      <w:r>
        <w:rPr>
          <w:rFonts w:ascii="Times New Roman" w:hAnsi="Times New Roman"/>
          <w:b w:val="1"/>
          <w:sz w:val="24"/>
        </w:rPr>
        <w:t xml:space="preserve"> бөлімдері бойынша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жиынтық бағалау</w:t>
      </w:r>
    </w:p>
    <w:tbl>
      <w:tblPr>
        <w:tblpPr w:leftFromText="180" w:rightFromText="180" w:tblpX="1" w:tblpY="3303" w:horzAnchor="margin" w:vertAnchor="page"/>
        <w:tblW w:w="9889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389"/>
        </w:trPr>
        <w:tc>
          <w:tcPr>
            <w:tcW w:w="2376" w:type="dxa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Тақырып</w:t>
            </w:r>
          </w:p>
        </w:tc>
        <w:tc>
          <w:tcPr>
            <w:tcW w:w="7513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«Америка Құрама Штаттарының күшеюі, XІX ғасырдағы өнер мен әдебиет әлеуметтік әділетсіздікті қалай суреттейді? 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</w:tr>
      <w:tr>
        <w:tc>
          <w:tcPr>
            <w:tcW w:w="2376" w:type="dxa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Оқу мақсаты</w:t>
            </w:r>
          </w:p>
        </w:tc>
        <w:tc>
          <w:tcPr>
            <w:tcW w:w="7513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8.4.1.3 АҚШ-ғы капиталистік монополиялардың даму ерекшеліктерін анықтау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8.2.2.2 Өнердегі негізгі стильдер мен ағымдарды (неоклассицизм, романтизм, импрессионизм, реализм) анықтау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8.2.4.1 </w:t>
            </w:r>
            <w:r>
              <w:rPr>
                <w:rFonts w:ascii="Times New Roman" w:hAnsi="Times New Roman"/>
                <w:sz w:val="24"/>
              </w:rPr>
              <w:t>XІX ғасырдағы өнер мен әдебиет әлеуметтік әділетсіздікті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суреттейді</w:t>
            </w:r>
          </w:p>
          <w:p>
            <w:pPr>
              <w:suppressAutoHyphens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w="2376" w:type="dxa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Бағалау критерийі</w:t>
            </w:r>
          </w:p>
        </w:tc>
        <w:tc>
          <w:tcPr>
            <w:tcW w:w="7513" w:type="dxa"/>
          </w:tcPr>
          <w:p>
            <w:pPr>
              <w:pStyle w:val="P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Білім алушы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Неоклассицизм, романтизм, импрессионизм, реализм ағымдарын жіктейді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Композиторлардың шығармалары</w:t>
            </w:r>
            <w:r>
              <w:rPr>
                <w:rFonts w:ascii="Times New Roman" w:hAnsi="Times New Roman"/>
                <w:sz w:val="24"/>
              </w:rPr>
              <w:t xml:space="preserve"> туралы ақпараттарды анықта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ды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>
            <w:pPr>
              <w:pStyle w:val="P3"/>
              <w:spacing w:lineRule="auto" w:line="240" w:after="0" w:beforeAutospacing="0" w:afterAutospacing="0"/>
              <w:ind w:left="60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2376" w:type="dxa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Ойлау дағдыларының деңгейі</w:t>
            </w:r>
          </w:p>
        </w:tc>
        <w:tc>
          <w:tcPr>
            <w:tcW w:w="7513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Қолдану, Жоғары деңгей дағдылары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2376" w:type="dxa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Орындау уақыты</w:t>
            </w:r>
          </w:p>
        </w:tc>
        <w:tc>
          <w:tcPr>
            <w:tcW w:w="7513" w:type="dxa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Бағалау критерийі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Ойлау дағдыларының деңгейі: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№1 тапсырма. Оқиға болған мерзімін анықтап, ретімен орналастырыңыз: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FF0000"/>
          <w:sz w:val="24"/>
        </w:rPr>
      </w:pPr>
    </w:p>
    <w:tbl>
      <w:tblPr>
        <w:tblStyle w:val="T2"/>
        <w:tblW w:w="0" w:type="auto"/>
        <w:jc w:val="center"/>
        <w:tblInd w:w="-1307" w:type="dxa"/>
        <w:tblLook w:val="04A0"/>
      </w:tblPr>
      <w:tblGrid/>
      <w:tr>
        <w:trPr>
          <w:jc w:val="center"/>
        </w:trPr>
        <w:tc>
          <w:tcPr>
            <w:tcW w:w="616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Оқиға 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Мерзімі</w:t>
            </w:r>
          </w:p>
        </w:tc>
      </w:tr>
      <w:tr>
        <w:trPr>
          <w:jc w:val="center"/>
        </w:trPr>
        <w:tc>
          <w:tcPr>
            <w:tcW w:w="616" w:type="dxa"/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Жапония жағалауларына келген Перри күш көрсетiп, ел басшыларынан келiсiмге қол қоюды талап еттi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jc w:val="center"/>
        </w:trPr>
        <w:tc>
          <w:tcPr>
            <w:tcW w:w="616" w:type="dxa"/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Перри Жапонияға оралды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jc w:val="center"/>
        </w:trPr>
        <w:tc>
          <w:tcPr>
            <w:tcW w:w="616" w:type="dxa"/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АҚШ Жапония жағалауларына жетi экспедиция аттандырды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jc w:val="center"/>
        </w:trPr>
        <w:tc>
          <w:tcPr>
            <w:tcW w:w="616" w:type="dxa"/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АҚШ командор М.Перри басқарған әскери кеменi Жапонияға аттандырды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jc w:val="center"/>
        </w:trPr>
        <w:tc>
          <w:tcPr>
            <w:tcW w:w="616" w:type="dxa"/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Канагава деген жерде бiрiншi жапонамерикан келiсiмшартына қол қойылды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Қажетті жылдар:</w:t>
      </w:r>
      <w:r>
        <w:rPr>
          <w:rFonts w:ascii="Times New Roman" w:hAnsi="Times New Roman"/>
          <w:color w:val="000000"/>
          <w:sz w:val="24"/>
        </w:rPr>
        <w:t xml:space="preserve"> 1853 ж, 1854 ж13 ақпан, 1852 ж, 1854 ж 13 ақпан, 1791-1849 жж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№2 тапсырма.</w:t>
      </w:r>
      <w:r>
        <w:rPr>
          <w:rStyle w:val="C6"/>
          <w:rFonts w:ascii="Times New Roman" w:hAnsi="Times New Roman"/>
          <w:b w:val="1"/>
          <w:color w:val="auto"/>
          <w:sz w:val="24"/>
        </w:rPr>
        <w:t xml:space="preserve"> Төменде берілген 19 ғ.өнер бағыттары мен ерекшеліктерін сәйкестендіріңіз:</w:t>
      </w:r>
    </w:p>
    <w:tbl>
      <w:tblPr>
        <w:tblStyle w:val="T2"/>
        <w:tblW w:w="0" w:type="auto"/>
        <w:tblLook w:val="04A0"/>
      </w:tblPr>
      <w:tblGrid/>
      <w:tr>
        <w:trPr>
          <w:trHeight w:hRule="atLeast" w:val="293"/>
        </w:trPr>
        <w:tc>
          <w:tcPr>
            <w:tcW w:w="2376" w:type="dxa"/>
          </w:tcPr>
          <w:p>
            <w:pPr>
              <w:spacing w:lineRule="auto" w:line="36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Бағыты</w:t>
            </w:r>
          </w:p>
        </w:tc>
        <w:tc>
          <w:tcPr>
            <w:tcW w:w="7335" w:type="dxa"/>
          </w:tcPr>
          <w:p>
            <w:pPr>
              <w:spacing w:lineRule="auto" w:line="36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Ерекшеліктер</w:t>
            </w:r>
          </w:p>
        </w:tc>
      </w:tr>
      <w:tr>
        <w:tc>
          <w:tcPr>
            <w:tcW w:w="2376" w:type="dxa"/>
          </w:tcPr>
          <w:p>
            <w:pPr>
              <w:spacing w:lineRule="auto" w:line="36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  <w:r>
              <w:rPr>
                <w:rFonts w:ascii="Times New Roman" w:hAnsi="Times New Roman"/>
                <w:b w:val="1"/>
                <w:sz w:val="24"/>
                <w:shd w:val="clear" w:fill="FFFFFF"/>
              </w:rPr>
              <w:t>Реализм</w:t>
            </w:r>
          </w:p>
        </w:tc>
        <w:tc>
          <w:tcPr>
            <w:tcW w:w="7335" w:type="dxa"/>
          </w:tcPr>
          <w:p>
            <w:pPr>
              <w:spacing w:lineRule="auto" w:line="360" w:beforeAutospacing="0" w:afterAutospacing="0"/>
              <w:contextualSpacing w:val="1"/>
              <w:rPr>
                <w:rStyle w:val="C7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А) </w:t>
            </w:r>
            <w:r>
              <w:rPr>
                <w:rStyle w:val="C3"/>
                <w:rFonts w:ascii="Times New Roman" w:hAnsi="Times New Roman"/>
                <w:b w:val="0"/>
                <w:color w:val="auto"/>
              </w:rPr>
              <w:t>туындыларда антикалық персонаждарды қолдану.</w:t>
            </w:r>
          </w:p>
        </w:tc>
      </w:tr>
      <w:tr>
        <w:tc>
          <w:tcPr>
            <w:tcW w:w="2376" w:type="dxa"/>
          </w:tcPr>
          <w:p>
            <w:pPr>
              <w:spacing w:lineRule="auto" w:line="36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sz w:val="24"/>
                <w:shd w:val="clear" w:fill="FFFFFF"/>
              </w:rPr>
              <w:t>Романтизм</w:t>
            </w:r>
          </w:p>
        </w:tc>
        <w:tc>
          <w:tcPr>
            <w:tcW w:w="7335" w:type="dxa"/>
          </w:tcPr>
          <w:p>
            <w:pPr>
              <w:spacing w:lineRule="auto" w:line="36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В) </w:t>
            </w:r>
            <w:r>
              <w:rPr>
                <w:rStyle w:val="C3"/>
                <w:rFonts w:ascii="Times New Roman" w:hAnsi="Times New Roman"/>
                <w:b w:val="0"/>
                <w:color w:val="auto"/>
              </w:rPr>
              <w:t>шынайы өмірді суреттеу</w:t>
            </w:r>
          </w:p>
        </w:tc>
      </w:tr>
      <w:tr>
        <w:tc>
          <w:tcPr>
            <w:tcW w:w="2376" w:type="dxa"/>
          </w:tcPr>
          <w:p>
            <w:pPr>
              <w:spacing w:lineRule="auto" w:line="36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</w:t>
            </w:r>
            <w:r>
              <w:rPr>
                <w:rFonts w:ascii="Times New Roman" w:hAnsi="Times New Roman"/>
                <w:b w:val="1"/>
                <w:sz w:val="24"/>
                <w:shd w:val="clear" w:fill="FFFFFF"/>
              </w:rPr>
              <w:t>Импрессионизм </w:t>
            </w:r>
          </w:p>
        </w:tc>
        <w:tc>
          <w:tcPr>
            <w:tcW w:w="7335" w:type="dxa"/>
          </w:tcPr>
          <w:p>
            <w:pPr>
              <w:spacing w:lineRule="auto" w:line="36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С) </w:t>
            </w:r>
            <w:r>
              <w:rPr>
                <w:rStyle w:val="C3"/>
                <w:rFonts w:ascii="Times New Roman" w:hAnsi="Times New Roman"/>
                <w:b w:val="0"/>
                <w:color w:val="auto"/>
              </w:rPr>
              <w:t xml:space="preserve">қоғам мен адам арасындағы  шиеленістерді суреттейді. </w:t>
            </w:r>
          </w:p>
        </w:tc>
      </w:tr>
      <w:tr>
        <w:tc>
          <w:tcPr>
            <w:tcW w:w="2376" w:type="dxa"/>
          </w:tcPr>
          <w:p>
            <w:pPr>
              <w:spacing w:lineRule="auto" w:line="36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4.Неоклассицизм</w:t>
            </w:r>
          </w:p>
        </w:tc>
        <w:tc>
          <w:tcPr>
            <w:tcW w:w="7335" w:type="dxa"/>
          </w:tcPr>
          <w:p>
            <w:pPr>
              <w:spacing w:lineRule="auto" w:line="36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D) </w:t>
            </w:r>
            <w:r>
              <w:rPr>
                <w:rStyle w:val="C3"/>
                <w:rFonts w:ascii="Times New Roman" w:hAnsi="Times New Roman"/>
                <w:b w:val="0"/>
                <w:color w:val="auto"/>
              </w:rPr>
              <w:t>өзгерістегі әлем бейнесі</w:t>
            </w:r>
          </w:p>
        </w:tc>
      </w:tr>
    </w:tbl>
    <w:p>
      <w:pPr>
        <w:rPr>
          <w:rFonts w:ascii="Times New Roman" w:hAnsi="Times New Roman"/>
          <w:sz w:val="24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2427" w:type="dxa"/>
          </w:tcPr>
          <w:p>
            <w:pPr>
              <w:contextualSpacing w:val="1"/>
              <w:rPr>
                <w:rStyle w:val="C6"/>
                <w:rFonts w:ascii="Times New Roman" w:hAnsi="Times New Roman"/>
                <w:i w:val="0"/>
                <w:color w:val="auto"/>
                <w:sz w:val="24"/>
              </w:rPr>
            </w:pPr>
            <w:r>
              <w:rPr>
                <w:rStyle w:val="C6"/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428" w:type="dxa"/>
          </w:tcPr>
          <w:p>
            <w:pPr>
              <w:contextualSpacing w:val="1"/>
              <w:rPr>
                <w:rStyle w:val="C6"/>
                <w:rFonts w:ascii="Times New Roman" w:hAnsi="Times New Roman"/>
                <w:i w:val="0"/>
                <w:color w:val="auto"/>
                <w:sz w:val="24"/>
              </w:rPr>
            </w:pPr>
            <w:r>
              <w:rPr>
                <w:rStyle w:val="C6"/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428" w:type="dxa"/>
          </w:tcPr>
          <w:p>
            <w:pPr>
              <w:contextualSpacing w:val="1"/>
              <w:rPr>
                <w:rStyle w:val="C6"/>
                <w:rFonts w:ascii="Times New Roman" w:hAnsi="Times New Roman"/>
                <w:i w:val="0"/>
                <w:color w:val="auto"/>
                <w:sz w:val="24"/>
              </w:rPr>
            </w:pPr>
            <w:r>
              <w:rPr>
                <w:rStyle w:val="C6"/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428" w:type="dxa"/>
          </w:tcPr>
          <w:p>
            <w:pPr>
              <w:contextualSpacing w:val="1"/>
              <w:rPr>
                <w:rStyle w:val="C6"/>
                <w:rFonts w:ascii="Times New Roman" w:hAnsi="Times New Roman"/>
                <w:i w:val="0"/>
                <w:color w:val="auto"/>
                <w:sz w:val="24"/>
              </w:rPr>
            </w:pPr>
            <w:r>
              <w:rPr>
                <w:rStyle w:val="C6"/>
                <w:rFonts w:ascii="Times New Roman" w:hAnsi="Times New Roman"/>
                <w:color w:val="auto"/>
                <w:sz w:val="24"/>
              </w:rPr>
              <w:t>4</w:t>
            </w:r>
          </w:p>
        </w:tc>
      </w:tr>
      <w:tr>
        <w:trPr>
          <w:trHeight w:hRule="atLeast" w:val="411"/>
        </w:trPr>
        <w:tc>
          <w:tcPr>
            <w:tcW w:w="2427" w:type="dxa"/>
          </w:tcPr>
          <w:p>
            <w:pPr>
              <w:contextualSpacing w:val="1"/>
              <w:rPr>
                <w:rStyle w:val="C6"/>
                <w:rFonts w:ascii="Times New Roman" w:hAnsi="Times New Roman"/>
                <w:i w:val="0"/>
                <w:color w:val="auto"/>
                <w:sz w:val="24"/>
              </w:rPr>
            </w:pPr>
          </w:p>
          <w:p>
            <w:pPr>
              <w:contextualSpacing w:val="1"/>
              <w:rPr>
                <w:rStyle w:val="C6"/>
                <w:rFonts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2428" w:type="dxa"/>
          </w:tcPr>
          <w:p>
            <w:pPr>
              <w:contextualSpacing w:val="1"/>
              <w:rPr>
                <w:rStyle w:val="C6"/>
                <w:rFonts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2428" w:type="dxa"/>
          </w:tcPr>
          <w:p>
            <w:pPr>
              <w:contextualSpacing w:val="1"/>
              <w:rPr>
                <w:rStyle w:val="C6"/>
                <w:rFonts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2428" w:type="dxa"/>
          </w:tcPr>
          <w:p>
            <w:pPr>
              <w:contextualSpacing w:val="1"/>
              <w:rPr>
                <w:rStyle w:val="C6"/>
                <w:rFonts w:ascii="Times New Roman" w:hAnsi="Times New Roman"/>
                <w:i w:val="0"/>
                <w:color w:val="auto"/>
                <w:sz w:val="24"/>
              </w:rPr>
            </w:pPr>
          </w:p>
        </w:tc>
      </w:tr>
    </w:tbl>
    <w:p>
      <w:pPr>
        <w:pStyle w:val="P2"/>
        <w:rPr>
          <w:b w:val="1"/>
        </w:rPr>
      </w:pPr>
    </w:p>
    <w:p>
      <w:pPr>
        <w:pStyle w:val="P2"/>
        <w:rPr>
          <w:b w:val="1"/>
          <w:i w:val="1"/>
        </w:rPr>
      </w:pPr>
      <w:r>
        <w:rPr>
          <w:b w:val="1"/>
        </w:rPr>
        <w:t>№3 тапсырма.</w:t>
      </w:r>
      <w:r>
        <w:rPr>
          <w:b w:val="1"/>
          <w:sz w:val="23"/>
        </w:rPr>
        <w:t xml:space="preserve"> </w:t>
      </w:r>
      <w:r>
        <w:rPr>
          <w:b w:val="1"/>
          <w:sz w:val="23"/>
        </w:rPr>
        <w:t xml:space="preserve">Композиторлардың </w:t>
      </w:r>
      <w:r>
        <w:rPr>
          <w:b w:val="1"/>
          <w:sz w:val="23"/>
        </w:rPr>
        <w:t>шығармаларын</w:t>
      </w:r>
      <w:r>
        <w:rPr>
          <w:b w:val="1"/>
          <w:sz w:val="23"/>
        </w:rPr>
        <w:t xml:space="preserve"> анықтаңыз</w:t>
      </w:r>
    </w:p>
    <w:tbl>
      <w:tblPr>
        <w:tblpPr w:leftFromText="180" w:rightFromText="180" w:tblpX="1" w:tblpY="1" w:vertAnchor="text"/>
        <w:tblOverlap w:val="never"/>
        <w:tblW w:w="918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c>
          <w:tcPr>
            <w:tcW w:w="3369" w:type="dxa"/>
          </w:tcPr>
          <w:p>
            <w:pPr>
              <w:spacing w:lineRule="auto" w:line="36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Ғалымдар мен ойшылдар</w:t>
            </w:r>
          </w:p>
        </w:tc>
        <w:tc>
          <w:tcPr>
            <w:tcW w:w="5811" w:type="dxa"/>
          </w:tcPr>
          <w:p>
            <w:pPr>
              <w:pStyle w:val="P2"/>
              <w:spacing w:lineRule="auto" w:line="360" w:beforeAutospacing="0" w:afterAutospacing="0"/>
              <w:jc w:val="center"/>
              <w:rPr>
                <w:b w:val="1"/>
              </w:rPr>
            </w:pPr>
            <w:r>
              <w:rPr>
                <w:b w:val="1"/>
              </w:rPr>
              <w:t>Шығармалары</w:t>
            </w:r>
          </w:p>
        </w:tc>
      </w:tr>
      <w:tr>
        <w:tc>
          <w:tcPr>
            <w:tcW w:w="3369" w:type="dxa"/>
          </w:tcPr>
          <w:p>
            <w:pPr>
              <w:spacing w:lineRule="auto" w:line="36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Франц Петер Шуберт</w:t>
            </w:r>
          </w:p>
        </w:tc>
        <w:tc>
          <w:tcPr>
            <w:tcW w:w="5811" w:type="dxa"/>
          </w:tcPr>
          <w:p>
            <w:pPr>
              <w:spacing w:lineRule="auto" w:line="36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3369" w:type="dxa"/>
          </w:tcPr>
          <w:p>
            <w:pPr>
              <w:spacing w:lineRule="auto" w:line="36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Шопен</w:t>
            </w:r>
          </w:p>
        </w:tc>
        <w:tc>
          <w:tcPr>
            <w:tcW w:w="5811" w:type="dxa"/>
          </w:tcPr>
          <w:p>
            <w:pPr>
              <w:spacing w:lineRule="auto" w:line="36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3369" w:type="dxa"/>
          </w:tcPr>
          <w:p>
            <w:pPr>
              <w:spacing w:lineRule="auto" w:line="36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Франц Йозеф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айдн</w:t>
            </w:r>
          </w:p>
        </w:tc>
        <w:tc>
          <w:tcPr>
            <w:tcW w:w="5811" w:type="dxa"/>
          </w:tcPr>
          <w:p>
            <w:pPr>
              <w:spacing w:lineRule="auto" w:line="36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3369" w:type="dxa"/>
          </w:tcPr>
          <w:p>
            <w:pPr>
              <w:spacing w:lineRule="auto" w:line="36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Петр Ильич Чайко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ский</w:t>
            </w:r>
          </w:p>
        </w:tc>
        <w:tc>
          <w:tcPr>
            <w:tcW w:w="5811" w:type="dxa"/>
          </w:tcPr>
          <w:p>
            <w:pPr>
              <w:spacing w:lineRule="auto" w:line="36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3369" w:type="dxa"/>
          </w:tcPr>
          <w:p>
            <w:pPr>
              <w:spacing w:lineRule="auto" w:line="36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Иоган С</w:t>
            </w:r>
            <w:r>
              <w:rPr>
                <w:rFonts w:ascii="Times New Roman" w:hAnsi="Times New Roman"/>
                <w:sz w:val="24"/>
              </w:rPr>
              <w:t>ебастьян Бах</w:t>
            </w:r>
          </w:p>
        </w:tc>
        <w:tc>
          <w:tcPr>
            <w:tcW w:w="5811" w:type="dxa"/>
          </w:tcPr>
          <w:p>
            <w:pPr>
              <w:spacing w:lineRule="auto" w:line="36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br w:type="textWrapping"/>
      </w:r>
    </w:p>
    <w:p>
      <w:pPr>
        <w:pStyle w:val="P2"/>
        <w:jc w:val="center"/>
        <w:rPr>
          <w:b w:val="1"/>
        </w:rPr>
      </w:pPr>
      <w:r>
        <w:rPr>
          <w:b w:val="1"/>
        </w:rPr>
        <w:t>Бағалау парағы</w:t>
      </w:r>
    </w:p>
    <w:p>
      <w:pPr>
        <w:pStyle w:val="P2"/>
        <w:rPr>
          <w:sz w:val="22"/>
        </w:rPr>
      </w:pPr>
    </w:p>
    <w:tbl>
      <w:tblPr>
        <w:tblStyle w:val="T2"/>
        <w:tblW w:w="10490" w:type="dxa"/>
        <w:tblInd w:w="-459" w:type="dxa"/>
        <w:tblLayout w:type="fixed"/>
        <w:tblLook w:val="04A0"/>
      </w:tblPr>
      <w:tblGrid/>
      <w:tr>
        <w:trPr>
          <w:trHeight w:hRule="atLeast" w:val="312"/>
        </w:trPr>
        <w:tc>
          <w:tcPr>
            <w:tcW w:w="2835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Style w:val="C3"/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Бағалау критерийі</w:t>
            </w:r>
          </w:p>
          <w:p>
            <w:pPr>
              <w:rPr>
                <w:rStyle w:val="C3"/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Тапсырма</w:t>
            </w:r>
          </w:p>
          <w:p>
            <w:pPr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Style w:val="C3"/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Дескриптор</w:t>
            </w:r>
          </w:p>
        </w:tc>
        <w:tc>
          <w:tcPr>
            <w:tcW w:w="851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Style w:val="C3"/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</w:t>
            </w:r>
          </w:p>
        </w:tc>
      </w:tr>
      <w:tr>
        <w:trPr>
          <w:trHeight w:hRule="atLeast" w:val="245"/>
        </w:trPr>
        <w:tc>
          <w:tcPr>
            <w:tcW w:w="2835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</w:p>
        </w:tc>
        <w:tc>
          <w:tcPr>
            <w:tcW w:w="53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Білім алушы</w:t>
            </w:r>
          </w:p>
        </w:tc>
        <w:tc>
          <w:tcPr>
            <w:tcW w:w="851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</w:p>
        </w:tc>
      </w:tr>
      <w:tr>
        <w:trPr>
          <w:trHeight w:hRule="atLeast" w:val="245"/>
        </w:trPr>
        <w:tc>
          <w:tcPr>
            <w:tcW w:w="2835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sz w:val="24"/>
              </w:rPr>
              <w:t xml:space="preserve">АҚШ-ғы капиталистік монополиялардың даму ерекшеліктерін анықтайды </w:t>
            </w:r>
          </w:p>
        </w:tc>
        <w:tc>
          <w:tcPr>
            <w:tcW w:w="141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rStyle w:val="C3"/>
                <w:rFonts w:ascii="Times New Roman" w:hAnsi="Times New Roman"/>
                <w:b w:val="0"/>
              </w:rPr>
            </w:pPr>
            <w:r>
              <w:rPr>
                <w:rStyle w:val="C3"/>
                <w:rFonts w:ascii="Times New Roman" w:hAnsi="Times New Roman"/>
                <w:b w:val="0"/>
              </w:rPr>
              <w:t>1</w:t>
            </w:r>
          </w:p>
        </w:tc>
        <w:tc>
          <w:tcPr>
            <w:tcW w:w="53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Бірінші оқиғаның мерзімін анықтайды; 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  <w:r>
              <w:rPr>
                <w:rStyle w:val="C3"/>
                <w:rFonts w:ascii="Times New Roman" w:hAnsi="Times New Roman"/>
                <w:b w:val="0"/>
              </w:rPr>
              <w:t>1</w:t>
            </w:r>
          </w:p>
        </w:tc>
      </w:tr>
      <w:tr>
        <w:trPr>
          <w:trHeight w:hRule="atLeast" w:val="245"/>
        </w:trPr>
        <w:tc>
          <w:tcPr>
            <w:tcW w:w="2835" w:type="dxa"/>
            <w:vMerge w:val="continue"/>
            <w:tcBorders>
              <w:left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vMerge w:val="continue"/>
            <w:tcBorders>
              <w:left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</w:p>
        </w:tc>
        <w:tc>
          <w:tcPr>
            <w:tcW w:w="53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Екінші  оқиғаның мерзімін анықтайды;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  <w:r>
              <w:rPr>
                <w:rStyle w:val="C3"/>
                <w:rFonts w:ascii="Times New Roman" w:hAnsi="Times New Roman"/>
                <w:b w:val="0"/>
              </w:rPr>
              <w:t>1</w:t>
            </w:r>
          </w:p>
        </w:tc>
      </w:tr>
      <w:tr>
        <w:trPr>
          <w:trHeight w:hRule="atLeast" w:val="245"/>
        </w:trPr>
        <w:tc>
          <w:tcPr>
            <w:tcW w:w="2835" w:type="dxa"/>
            <w:vMerge w:val="continue"/>
            <w:tcBorders>
              <w:left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vMerge w:val="continue"/>
            <w:tcBorders>
              <w:left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</w:p>
        </w:tc>
        <w:tc>
          <w:tcPr>
            <w:tcW w:w="53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Үшінші оқиғаның мерзімін анықтайды;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  <w:r>
              <w:rPr>
                <w:rStyle w:val="C3"/>
                <w:rFonts w:ascii="Times New Roman" w:hAnsi="Times New Roman"/>
                <w:b w:val="0"/>
              </w:rPr>
              <w:t>1</w:t>
            </w:r>
          </w:p>
        </w:tc>
      </w:tr>
      <w:tr>
        <w:trPr>
          <w:trHeight w:hRule="atLeast" w:val="245"/>
        </w:trPr>
        <w:tc>
          <w:tcPr>
            <w:tcW w:w="2835" w:type="dxa"/>
            <w:vMerge w:val="continue"/>
            <w:tcBorders>
              <w:left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vMerge w:val="continue"/>
            <w:tcBorders>
              <w:left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</w:p>
        </w:tc>
        <w:tc>
          <w:tcPr>
            <w:tcW w:w="53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Төртінші оқиғаның мерзімін анықтайды;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  <w:r>
              <w:rPr>
                <w:rStyle w:val="C3"/>
                <w:rFonts w:ascii="Times New Roman" w:hAnsi="Times New Roman"/>
                <w:b w:val="0"/>
              </w:rPr>
              <w:t>1</w:t>
            </w:r>
          </w:p>
        </w:tc>
      </w:tr>
      <w:tr>
        <w:trPr>
          <w:trHeight w:hRule="atLeast" w:val="245"/>
        </w:trPr>
        <w:tc>
          <w:tcPr>
            <w:tcW w:w="2835" w:type="dxa"/>
            <w:vMerge w:val="continue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vMerge w:val="continue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</w:p>
        </w:tc>
        <w:tc>
          <w:tcPr>
            <w:tcW w:w="53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Бесінші оқиғаның мерзімін анықтайды;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Style w:val="C3"/>
                <w:rFonts w:ascii="Times New Roman" w:hAnsi="Times New Roman"/>
                <w:b w:val="0"/>
              </w:rPr>
            </w:pPr>
            <w:r>
              <w:rPr>
                <w:rStyle w:val="C3"/>
                <w:rFonts w:ascii="Times New Roman" w:hAnsi="Times New Roman"/>
                <w:b w:val="0"/>
              </w:rPr>
              <w:t>1</w:t>
            </w:r>
          </w:p>
        </w:tc>
      </w:tr>
      <w:tr>
        <w:trPr>
          <w:trHeight w:hRule="atLeast" w:val="277"/>
        </w:trPr>
        <w:tc>
          <w:tcPr>
            <w:tcW w:w="2835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2"/>
            </w:pPr>
            <w:r>
              <w:t>Неоклассицизм, романтизм, импрессионизм, реализм ағымдарын жіктейді</w:t>
            </w:r>
          </w:p>
        </w:tc>
        <w:tc>
          <w:tcPr>
            <w:tcW w:w="141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pStyle w:val="P2"/>
              <w:rPr>
                <w:color w:val="auto"/>
              </w:rPr>
            </w:pPr>
            <w:r>
              <w:rPr>
                <w:color w:val="auto"/>
              </w:rPr>
              <w:t>Неоклассицизм анықтамасымен сәкестендіреді;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30"/>
        </w:trPr>
        <w:tc>
          <w:tcPr>
            <w:tcW w:w="2835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2"/>
            </w:pPr>
          </w:p>
        </w:tc>
        <w:tc>
          <w:tcPr>
            <w:tcW w:w="141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pStyle w:val="P2"/>
              <w:rPr>
                <w:color w:val="auto"/>
              </w:rPr>
            </w:pPr>
            <w:r>
              <w:rPr>
                <w:color w:val="auto"/>
              </w:rPr>
              <w:t>Романтизм анықтамасымен сәйкестендіреді;</w:t>
            </w:r>
          </w:p>
        </w:tc>
        <w:tc>
          <w:tcPr>
            <w:tcW w:w="851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98"/>
        </w:trPr>
        <w:tc>
          <w:tcPr>
            <w:tcW w:w="2835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2"/>
            </w:pPr>
          </w:p>
        </w:tc>
        <w:tc>
          <w:tcPr>
            <w:tcW w:w="141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pStyle w:val="P2"/>
              <w:rPr>
                <w:color w:val="auto"/>
              </w:rPr>
            </w:pPr>
            <w:r>
              <w:rPr>
                <w:color w:val="auto"/>
              </w:rPr>
              <w:t>Импрессионизм анықтамасымен сәйкестендіреді;</w:t>
            </w:r>
          </w:p>
        </w:tc>
        <w:tc>
          <w:tcPr>
            <w:tcW w:w="851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58"/>
        </w:trPr>
        <w:tc>
          <w:tcPr>
            <w:tcW w:w="2835" w:type="dxa"/>
            <w:vMerge w:val="continue"/>
            <w:tcBorders>
              <w:left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pStyle w:val="P2"/>
              <w:rPr>
                <w:color w:val="auto"/>
              </w:rPr>
            </w:pPr>
            <w:r>
              <w:rPr>
                <w:color w:val="auto"/>
              </w:rPr>
              <w:t>Реализмді анықтамасымен сәйкестендіреді;</w:t>
            </w:r>
          </w:p>
        </w:tc>
        <w:tc>
          <w:tcPr>
            <w:tcW w:w="851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48"/>
        </w:trPr>
        <w:tc>
          <w:tcPr>
            <w:tcW w:w="2835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2"/>
              <w:rPr>
                <w:b w:val="0"/>
                <w:i w:val="0"/>
              </w:rPr>
            </w:pPr>
            <w:r>
              <w:rPr>
                <w:b w:val="0"/>
                <w:i w:val="0"/>
                <w:sz w:val="23"/>
              </w:rPr>
              <w:t>Композиторлардың шығармаларын анықт</w:t>
            </w:r>
            <w:r>
              <w:rPr>
                <w:b w:val="0"/>
                <w:i w:val="0"/>
                <w:sz w:val="23"/>
              </w:rPr>
              <w:t>айды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shadow="0" w:frame="0" w:color="auto"/>
              <w:left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pStyle w:val="P2"/>
            </w:pP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Франц Петер Шуберт</w:t>
            </w:r>
            <w:r>
              <w:rPr>
                <w:rFonts w:ascii="Times New Roman" w:hAnsi="Times New Roman"/>
                <w:sz w:val="24"/>
              </w:rPr>
              <w:t xml:space="preserve"> шығармасын </w:t>
            </w:r>
            <w:r>
              <w:t>анықтайды;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08"/>
        </w:trPr>
        <w:tc>
          <w:tcPr>
            <w:tcW w:w="2835" w:type="dxa"/>
            <w:vMerge w:val="continue"/>
            <w:tcBorders>
              <w:left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Шопен </w:t>
            </w:r>
            <w:r>
              <w:rPr>
                <w:rFonts w:ascii="Times New Roman" w:hAnsi="Times New Roman"/>
                <w:sz w:val="24"/>
              </w:rPr>
              <w:t>шығармасын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анықтайды</w:t>
            </w:r>
          </w:p>
        </w:tc>
        <w:tc>
          <w:tcPr>
            <w:tcW w:w="851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74"/>
        </w:trPr>
        <w:tc>
          <w:tcPr>
            <w:tcW w:w="2835" w:type="dxa"/>
            <w:vMerge w:val="continue"/>
            <w:tcBorders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Франц Йозеф Гайдн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шығармасын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анықтайды</w:t>
            </w:r>
          </w:p>
        </w:tc>
        <w:tc>
          <w:tcPr>
            <w:tcW w:w="851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1"/>
        </w:trPr>
        <w:tc>
          <w:tcPr>
            <w:tcW w:w="2835" w:type="dxa"/>
            <w:vMerge w:val="continue"/>
            <w:tcBorders>
              <w:left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Петр Ильич Чайковский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шығармасын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анықтайды</w:t>
            </w:r>
          </w:p>
        </w:tc>
        <w:tc>
          <w:tcPr>
            <w:tcW w:w="851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90"/>
        </w:trPr>
        <w:tc>
          <w:tcPr>
            <w:tcW w:w="2835" w:type="dxa"/>
            <w:vMerge w:val="continue"/>
            <w:tcBorders>
              <w:left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Иоган Себастьян Бах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шығармасын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анықтайды</w:t>
            </w:r>
          </w:p>
        </w:tc>
        <w:tc>
          <w:tcPr>
            <w:tcW w:w="851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28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Жалпы балл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</w:t>
            </w:r>
          </w:p>
        </w:tc>
      </w:tr>
    </w:tbl>
    <w:p>
      <w:pPr>
        <w:pStyle w:val="P2"/>
        <w:rPr>
          <w:sz w:val="22"/>
        </w:rPr>
      </w:pPr>
    </w:p>
    <w:p>
      <w:pPr>
        <w:pStyle w:val="P2"/>
        <w:rPr>
          <w:sz w:val="22"/>
        </w:rPr>
      </w:pPr>
    </w:p>
    <w:p>
      <w:pPr>
        <w:spacing w:lineRule="auto" w:line="240" w:after="0" w:beforeAutospacing="0" w:afterAutospacing="0"/>
      </w:pPr>
    </w:p>
    <w:sectPr>
      <w:type w:val="nextPage"/>
      <w:pgSz w:w="11906" w:h="16838" w:code="9"/>
      <w:pgMar w:left="1701" w:right="850" w:top="426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E887051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876534D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426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4984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5704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6424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7144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786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858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930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10024"/>
      </w:pPr>
      <w:rPr>
        <w:rFonts w:ascii="Wingdings" w:hAnsi="Wingdings"/>
      </w:rPr>
    </w:lvl>
  </w:abstractNum>
  <w:abstractNum w:abstractNumId="2">
    <w:nsid w:val="58866637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296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3684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4404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5124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5844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656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728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800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8724"/>
      </w:pPr>
      <w:rPr>
        <w:rFonts w:ascii="Wingdings" w:hAnsi="Wingdings"/>
      </w:rPr>
    </w:lvl>
  </w:abstractNum>
  <w:abstractNum w:abstractNumId="3">
    <w:nsid w:val="67EE4FB8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2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paragraph" w:styleId="P3">
    <w:name w:val="List Paragraph"/>
    <w:basedOn w:val="P0"/>
    <w:link w:val="C5"/>
    <w:qFormat/>
    <w:pPr>
      <w:ind w:left="720"/>
      <w:contextualSpacing w:val="1"/>
    </w:pPr>
    <w:rPr/>
  </w:style>
  <w:style w:type="paragraph" w:styleId="P4">
    <w:name w:val="Normal (Web)"/>
    <w:basedOn w:val="P0"/>
    <w:link w:val="C8"/>
    <w:qFormat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5">
    <w:name w:val="No Spacing"/>
    <w:link w:val="C9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ntstyle01"/>
    <w:basedOn w:val="C0"/>
    <w:rPr>
      <w:rFonts w:ascii="Arial-BoldMT" w:hAnsi="Arial-BoldMT"/>
      <w:b w:val="1"/>
      <w:i w:val="0"/>
      <w:color w:val="000000"/>
      <w:sz w:val="24"/>
    </w:rPr>
  </w:style>
  <w:style w:type="character" w:styleId="C4">
    <w:name w:val="Текст выноски Знак"/>
    <w:basedOn w:val="C0"/>
    <w:link w:val="P1"/>
    <w:semiHidden/>
    <w:rPr>
      <w:rFonts w:ascii="Tahoma" w:hAnsi="Tahoma"/>
      <w:sz w:val="16"/>
    </w:rPr>
  </w:style>
  <w:style w:type="character" w:styleId="C5">
    <w:name w:val="Абзац списка Знак"/>
    <w:link w:val="P3"/>
    <w:rPr/>
  </w:style>
  <w:style w:type="character" w:styleId="C6">
    <w:name w:val="Subtle Emphasis"/>
    <w:basedOn w:val="C0"/>
    <w:qFormat/>
    <w:rPr>
      <w:i w:val="1"/>
      <w:color w:val="808080"/>
    </w:rPr>
  </w:style>
  <w:style w:type="character" w:styleId="C7">
    <w:name w:val="Intense Emphasis"/>
    <w:basedOn w:val="C0"/>
    <w:qFormat/>
    <w:rPr>
      <w:b w:val="1"/>
      <w:i w:val="1"/>
      <w:color w:val="4F81BD"/>
    </w:rPr>
  </w:style>
  <w:style w:type="character" w:styleId="C8">
    <w:name w:val="Обычный (веб) Знак2"/>
    <w:link w:val="P4"/>
    <w:rPr>
      <w:rFonts w:ascii="Times New Roman" w:hAnsi="Times New Roman"/>
      <w:sz w:val="24"/>
    </w:rPr>
  </w:style>
  <w:style w:type="character" w:styleId="C9">
    <w:name w:val="Без интервала Знак"/>
    <w:link w:val="P5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