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ПРАКТИЧЕСКОЕ ДОМАШНЕЕ ЗАДАНИЕ - Тема 4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Основы трудового права в Российской Федерации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Ответьте на следующие вопросы: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внутреннего трудового распорядка 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частью коллективного договора;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разделом локального акта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Оплата 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самостоятельным локальным нормативным актом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приложением к коллективному договору.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внутреннего трудового распорядка утверждаются работодателем: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по согласованию с представительным органом работников;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согласия представительного органа работников;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работодателем;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учетом мнения представительного органа работников.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Могут ли в одной организации работодателем применяться к одним работникам Устав (положение) о дисциплине, а к другим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внутреннего трудового распорядка: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да;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Учреждение государственных наград производится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Указом Президента РФ;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РФ.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Государственными наградами являются: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звание Героя РФ;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ордена РФ;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 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знаки отличия РФ;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медали РФ;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…............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ab/>
        <w:t xml:space="preserve">(комментарий: немного не понял смысл данного задания, т.к это все гос. награды РФ)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Руководитель организации вправе применять следующие дисциплинарные взыскания: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увольнение;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строгий выговор;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предупреждение;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штраф;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лишение премии.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дисциплинарным взысканиям относится увольнение работника по следующим основаниям: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представление работником работодателю подложных документов при заключении трудового договора;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дисквалификация или иное административное наказание, исключающее возможность исполнения работником обязанностей по трудовому договору;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принятие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прекращение допуска к государственной тайне, если выполняемая работа требует такого допуска.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соответствии с требованиями ТК при наложении дисциплинарного взыскания должны учитываться: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тяжесть совершенного проступка;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вина работника;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обстоятельства, при которых проступок был совершен;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предшествующее поведение работника;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 работника к исполнению трудовых обязанностей.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Дисциплинарное взыскание применяется не позднее: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одного месяца со дня совершения проступка;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шести месяцев со дня совершения проступка;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одного года со дня совершения проступка.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основании ст. 193 ТК до применения дисциплинарного взыскания работодатель должен затребовать от работника письменное объяснение.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Предоставление письменного объяснения является: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правом работника;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обязанностью работника.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течение какого срока, со дня обращения работодателя к работнику, ему предоставляется возможность дать письменное объяснение по факту допущенного нарушения дисциплинарного нарушения: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рабочих дня;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календарных дня;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два рабочих дня;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 календарных дней.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 считается подвергнутым дисциплинарному взысканию в течение года: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дня совершения дисциплинарного проступка;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со дня применения дисциплинарного взыскания;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дня объявления работнику под роспись приказа о применении дисциплинарного взыскания.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работнику, допустившему нарушение трудовой дисциплины, могут применяться следующие меры воздействия: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перенесение ежегодного оплачиваемого отпуска на осенне-зимний период;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снижение премии;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лишение премии;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уменьшение дополнительного ежегодного оплачиваемого отпуска;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временный перевод на другую работу.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Дисциплинарное взыскание в виде выговора может быть обжаловано работником: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государственную инспекцию труда;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районный суд;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мировому судье;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в прокуратуру.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Является ли справедливым утверждение, что ни одно из дисциплинарных взысканий, не заносится в трудовую книжку: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нет.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Отношения по материальной ответственности работодателей и работников в сфере труда тесно связаны с трудовыми отношениями. Эти отношения могут: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предшествовать трудовым отношениям;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возникнуть после прекращения трудовых отношений;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возникнуть в период действия трудовых отношений.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Взыскание с работника причиненного им ущерба по распоряжению работодателя производится, если ущерб не превышает: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должностного оклада, тарифной ставки;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половины среднего заработка;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 трети среднего заработка;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среднего заработка.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Взыскание с работника причиненного ущерба производится на основании решения: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КТС;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мирового судьи;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районного суда.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принятия решения о возмещении работником ущерба работодатель обязан: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установить размер причиненного ущерба;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установить причину возникновения ущерба;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комиссию для проведения проверки размера причиненного ущерба и установления причин его возникновения;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истребовать от работника письменное объяснение;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отстранить его от работы;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сообщить об этом первичной профсоюзной организации, если работник член профсоюза.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Письменный договор о полной материальной ответственности заключается с работником, на которого возлагается ответственность за: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порчу вверенных ему ценностей;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недостачу вверенных ему ценностей;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порчу и недостачу вверенных ему ценностей.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Работодатель вправе заключить договор о полной материальной ответственности со следующими работниками: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уборщицей;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продавцом;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кассиром;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бухгалтером;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заместителем директора организации;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 6)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охранником;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консультантом, работающим в магазине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Мужской костюм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Должность работника включена в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ответственности, утвержденные постановлением Минтруда РФ от 31.12.2002 г. В этом случае работодатель: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обязан заключить договор о полной материальной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вправе заключить договор о полной материальной ответственности;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заключает договор о полной материальной ответственности по соглашению сторон.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Договор о коллективной (бригадной) материальной ответственности заключается между работодателем и: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коллективом бригады;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каждым членом бригады.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Размер ущерба, причиненного магазину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порчей мясных полуфабрикатов, определяется по фактическим потерям исходя из рыночных цен, действующих в данной местности на день: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причинения ущерба;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обнаружения ущерба работодателем;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взыскания ущерба.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Работодатель несет материальную ответственность за задержку выплату работнику заработной платы: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наличии вины;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независимо от наличия вины.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Согласно положениям ТК РФ, размер денежной компенсации за задержку выплаты работнику заработной платы может быть повышен: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трудовым договором;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коллективным договором;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отраслевым (межотраслевым) соглашением;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локальным нормативным актом;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территориальным соглашением.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